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6A23" w14:textId="3E7674AC" w:rsidR="001C0F87" w:rsidRPr="001C0F87" w:rsidRDefault="001C0F87" w:rsidP="001C0F8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C0F87">
        <w:rPr>
          <w:rFonts w:ascii="Lato" w:eastAsia="Times New Roman" w:hAnsi="Lato" w:cs="Times New Roman"/>
          <w:color w:val="CC3300"/>
          <w:kern w:val="36"/>
          <w:sz w:val="36"/>
          <w:szCs w:val="36"/>
          <w:lang w:eastAsia="fr-BE"/>
          <w14:ligatures w14:val="none"/>
        </w:rPr>
        <w:t>Aluminium</w:t>
      </w:r>
      <w:r>
        <w:rPr>
          <w:rFonts w:ascii="Lato" w:eastAsia="Times New Roman" w:hAnsi="Lato" w:cs="Times New Roman"/>
          <w:color w:val="CC3300"/>
          <w:kern w:val="36"/>
          <w:sz w:val="36"/>
          <w:szCs w:val="36"/>
          <w:lang w:eastAsia="fr-BE"/>
          <w14:ligatures w14:val="none"/>
        </w:rPr>
        <w:t>,</w:t>
      </w:r>
      <w:r w:rsidRPr="001C0F87">
        <w:rPr>
          <w:rFonts w:ascii="Lato" w:eastAsia="Times New Roman" w:hAnsi="Lato" w:cs="Times New Roman"/>
          <w:color w:val="CC3300"/>
          <w:kern w:val="36"/>
          <w:sz w:val="36"/>
          <w:szCs w:val="36"/>
          <w:lang w:eastAsia="fr-BE"/>
          <w14:ligatures w14:val="none"/>
        </w:rPr>
        <w:t xml:space="preserve"> vers une reprise progressive de la demande asiatique cette année</w:t>
      </w:r>
    </w:p>
    <w:p w14:paraId="03DC654A" w14:textId="77777777" w:rsidR="001C0F87" w:rsidRDefault="001C0F87" w:rsidP="001C0F87">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613DE27" w14:textId="4F337355"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b/>
          <w:bCs/>
          <w:color w:val="000000"/>
          <w:kern w:val="0"/>
          <w:sz w:val="23"/>
          <w:szCs w:val="23"/>
          <w:lang w:eastAsia="fr-BE"/>
          <w14:ligatures w14:val="none"/>
        </w:rPr>
        <w:t>La demande en aluminium devrait poursuivre sa reprise en Asie en 2024, après une année 2023 qui a déçu les attentes. Elle sera portée par une activité plus robuste en Chine et au Japon.</w:t>
      </w:r>
    </w:p>
    <w:p w14:paraId="733E7BAC"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 </w:t>
      </w:r>
    </w:p>
    <w:p w14:paraId="3F1B58EA" w14:textId="77777777" w:rsidR="001C0F87" w:rsidRPr="001C0F87" w:rsidRDefault="001C0F87" w:rsidP="001C0F87">
      <w:pPr>
        <w:shd w:val="clear" w:color="auto" w:fill="FFFFFF"/>
        <w:spacing w:before="75" w:after="75" w:line="240" w:lineRule="auto"/>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b/>
          <w:bCs/>
          <w:color w:val="A52A2A"/>
          <w:kern w:val="0"/>
          <w:sz w:val="23"/>
          <w:szCs w:val="23"/>
          <w:lang w:eastAsia="fr-BE"/>
          <w14:ligatures w14:val="none"/>
        </w:rPr>
        <w:t>La Chine revient doucement aux achats</w:t>
      </w:r>
    </w:p>
    <w:p w14:paraId="172EE459"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 xml:space="preserve">En Chine, la demande n’a que très modérément progressé en 2023, alors que le marché attendait une reprise marquée, consécutive à la levée des mesures de confinement liées à la Covid. Mais, le pays de l’Empire du Milieu a été ralenti par une crise immobilière, que le </w:t>
      </w:r>
      <w:proofErr w:type="gramStart"/>
      <w:r w:rsidRPr="001C0F87">
        <w:rPr>
          <w:rFonts w:ascii="Lato" w:eastAsia="Times New Roman" w:hAnsi="Lato" w:cs="Times New Roman"/>
          <w:color w:val="000000"/>
          <w:kern w:val="0"/>
          <w:sz w:val="23"/>
          <w:szCs w:val="23"/>
          <w:lang w:eastAsia="fr-BE"/>
          <w14:ligatures w14:val="none"/>
        </w:rPr>
        <w:t>gouvernement</w:t>
      </w:r>
      <w:proofErr w:type="gramEnd"/>
      <w:r w:rsidRPr="001C0F87">
        <w:rPr>
          <w:rFonts w:ascii="Lato" w:eastAsia="Times New Roman" w:hAnsi="Lato" w:cs="Times New Roman"/>
          <w:color w:val="000000"/>
          <w:kern w:val="0"/>
          <w:sz w:val="23"/>
          <w:szCs w:val="23"/>
          <w:lang w:eastAsia="fr-BE"/>
          <w14:ligatures w14:val="none"/>
        </w:rPr>
        <w:t xml:space="preserve"> n’a pas réussi à enrayer, malgré des mesures.</w:t>
      </w:r>
    </w:p>
    <w:p w14:paraId="7CFAEDEA"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Les besoins de la Chine vont croître avec la reprise de l’activité. Mais les capacités de production du pays sont proches de leur plafond. Le marché s’attend, de ce fait, à ce que le pays importe davantage en 2024, ce qui soutiendra la progression des primes dans la région.</w:t>
      </w:r>
    </w:p>
    <w:p w14:paraId="41862411"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Les primes ont progressé en 2023, et elles devraient poursuivre sur leur lancée en 2024. Les primes mensuelles sur les </w:t>
      </w:r>
      <w:r w:rsidRPr="001C0F87">
        <w:rPr>
          <w:rFonts w:ascii="Lato" w:eastAsia="Times New Roman" w:hAnsi="Lato" w:cs="Times New Roman"/>
          <w:color w:val="000000"/>
          <w:kern w:val="0"/>
          <w:sz w:val="23"/>
          <w:szCs w:val="23"/>
          <w:u w:val="single"/>
          <w:lang w:eastAsia="fr-BE"/>
          <w14:ligatures w14:val="none"/>
        </w:rPr>
        <w:t>lingots P1020</w:t>
      </w:r>
      <w:r w:rsidRPr="001C0F87">
        <w:rPr>
          <w:rFonts w:ascii="Lato" w:eastAsia="Times New Roman" w:hAnsi="Lato" w:cs="Times New Roman"/>
          <w:color w:val="000000"/>
          <w:kern w:val="0"/>
          <w:sz w:val="23"/>
          <w:szCs w:val="23"/>
          <w:lang w:eastAsia="fr-BE"/>
          <w14:ligatures w14:val="none"/>
        </w:rPr>
        <w:t>, au départ des entrepôts de douane de </w:t>
      </w:r>
      <w:r w:rsidRPr="001C0F87">
        <w:rPr>
          <w:rFonts w:ascii="Lato" w:eastAsia="Times New Roman" w:hAnsi="Lato" w:cs="Times New Roman"/>
          <w:b/>
          <w:bCs/>
          <w:color w:val="000000"/>
          <w:kern w:val="0"/>
          <w:sz w:val="23"/>
          <w:szCs w:val="23"/>
          <w:lang w:eastAsia="fr-BE"/>
          <w14:ligatures w14:val="none"/>
        </w:rPr>
        <w:t>Shanghai</w:t>
      </w:r>
      <w:r w:rsidRPr="001C0F87">
        <w:rPr>
          <w:rFonts w:ascii="Lato" w:eastAsia="Times New Roman" w:hAnsi="Lato" w:cs="Times New Roman"/>
          <w:color w:val="000000"/>
          <w:kern w:val="0"/>
          <w:sz w:val="23"/>
          <w:szCs w:val="23"/>
          <w:lang w:eastAsia="fr-BE"/>
          <w14:ligatures w14:val="none"/>
        </w:rPr>
        <w:t>, se nouaient entre 120 et 130 $/t le 27 décembre 2023, contre 70-110 $/t le 31 janvier 2023. Les primes mensuelles CIF </w:t>
      </w:r>
      <w:r w:rsidRPr="001C0F87">
        <w:rPr>
          <w:rFonts w:ascii="Lato" w:eastAsia="Times New Roman" w:hAnsi="Lato" w:cs="Times New Roman"/>
          <w:b/>
          <w:bCs/>
          <w:color w:val="000000"/>
          <w:kern w:val="0"/>
          <w:sz w:val="23"/>
          <w:szCs w:val="23"/>
          <w:lang w:eastAsia="fr-BE"/>
          <w14:ligatures w14:val="none"/>
        </w:rPr>
        <w:t>Shanghai </w:t>
      </w:r>
      <w:r w:rsidRPr="001C0F87">
        <w:rPr>
          <w:rFonts w:ascii="Lato" w:eastAsia="Times New Roman" w:hAnsi="Lato" w:cs="Times New Roman"/>
          <w:color w:val="000000"/>
          <w:kern w:val="0"/>
          <w:sz w:val="23"/>
          <w:szCs w:val="23"/>
          <w:lang w:eastAsia="fr-BE"/>
          <w14:ligatures w14:val="none"/>
        </w:rPr>
        <w:t>atteignaient 100-110 $/t le 27 décembre, contre 60-100 $/t le 31 janvier 2023.</w:t>
      </w:r>
    </w:p>
    <w:p w14:paraId="522275F8"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Le potentiel de hausse de la production chinoise d’aluminium est limité : la production actuelle dépasse 44 millions de tonnes par an, non loin de son plafond de 45,43 millions. « Les fabricants chinois de produits en aluminium commenceront à importer du métal quand les cours domestiques seront supérieurs aux cours du marché international et l’offre domestique restreinte », prévoit un trader.</w:t>
      </w:r>
    </w:p>
    <w:p w14:paraId="0F14841D"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La Chine a importé près de 1,37 million de tonnes d’aluminium au cours des onze premiers mois de 2023, et exporté 135.339 tonnes de ce métal. Le pays est, de fait, importateur net à hauteur de 1,23 million de tonnes, selon des données provenant de la douane chinoise.</w:t>
      </w:r>
    </w:p>
    <w:p w14:paraId="211CF7EC"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 xml:space="preserve">En outre, la perspective de tensions sur l’offre en bauxite est source de préoccupation pour la Chine. « Un dépôt de carburant a pris feu en décembre en Guinée, producteur majeur de bauxite, et fait craindre des tensions sur les disponibilités. L’incident aura un impact à moyen et </w:t>
      </w:r>
      <w:proofErr w:type="gramStart"/>
      <w:r w:rsidRPr="001C0F87">
        <w:rPr>
          <w:rFonts w:ascii="Lato" w:eastAsia="Times New Roman" w:hAnsi="Lato" w:cs="Times New Roman"/>
          <w:color w:val="000000"/>
          <w:kern w:val="0"/>
          <w:sz w:val="23"/>
          <w:szCs w:val="23"/>
          <w:lang w:eastAsia="fr-BE"/>
          <w14:ligatures w14:val="none"/>
        </w:rPr>
        <w:t>long termes</w:t>
      </w:r>
      <w:proofErr w:type="gramEnd"/>
      <w:r w:rsidRPr="001C0F87">
        <w:rPr>
          <w:rFonts w:ascii="Lato" w:eastAsia="Times New Roman" w:hAnsi="Lato" w:cs="Times New Roman"/>
          <w:color w:val="000000"/>
          <w:kern w:val="0"/>
          <w:sz w:val="23"/>
          <w:szCs w:val="23"/>
          <w:lang w:eastAsia="fr-BE"/>
          <w14:ligatures w14:val="none"/>
        </w:rPr>
        <w:t xml:space="preserve"> sur l’offre mondiale. L’offre domestique chinoise est, de plus, déjà tendue. L’industrie mondiale de l’aluminium devrait voir une augmentation des coûts de la matière première, ce qui, par incidence, fera grimper les cours de l’aluminium », anticipe un second trader. La Guinée pèse pour plus de moitié dans les importations chinoises de bauxite, qui s’élèvent à 125,66 millions de tonnes par an. (</w:t>
      </w:r>
      <w:proofErr w:type="gramStart"/>
      <w:r w:rsidRPr="001C0F87">
        <w:rPr>
          <w:rFonts w:ascii="Lato" w:eastAsia="Times New Roman" w:hAnsi="Lato" w:cs="Times New Roman"/>
          <w:color w:val="000000"/>
          <w:kern w:val="0"/>
          <w:sz w:val="23"/>
          <w:szCs w:val="23"/>
          <w:lang w:eastAsia="fr-BE"/>
          <w14:ligatures w14:val="none"/>
        </w:rPr>
        <w:t>voir</w:t>
      </w:r>
      <w:proofErr w:type="gramEnd"/>
      <w:r w:rsidRPr="001C0F87">
        <w:rPr>
          <w:rFonts w:ascii="Lato" w:eastAsia="Times New Roman" w:hAnsi="Lato" w:cs="Times New Roman"/>
          <w:color w:val="000000"/>
          <w:kern w:val="0"/>
          <w:sz w:val="23"/>
          <w:szCs w:val="23"/>
          <w:lang w:eastAsia="fr-BE"/>
          <w14:ligatures w14:val="none"/>
        </w:rPr>
        <w:t xml:space="preserve"> également la brève en page 5, sur Alcoa)</w:t>
      </w:r>
    </w:p>
    <w:p w14:paraId="6F5FD2BA"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Le renforcement de la demande chinoise devrait, d’autre part, permettre d’absorber l’aluminium produit ailleurs dans le monde. « La demande chinoise se raffermit, bien qu’à un rythme lent. La demande du secteur immobilier demeure faible, mais celle issue des secteurs de l’énergie solaire et des véhicules électriques progresse », constate un trader. Le secteur de l’immobilier a représenté 24% de la consommation d’aluminium du pays, le secteur automobile (véhicules électriques compris) 24%, et les secteurs électronique et énergie (dont solaire) 19%.</w:t>
      </w:r>
    </w:p>
    <w:p w14:paraId="4A241A0A"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lastRenderedPageBreak/>
        <w:t>La demande asiatique va s’améliorer, mais elle ne sera probablement pas en mesure de compenser le recul enregistré ailleurs dans le monde.</w:t>
      </w:r>
    </w:p>
    <w:p w14:paraId="6607BDD5"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 </w:t>
      </w:r>
    </w:p>
    <w:p w14:paraId="520A8A2A"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b/>
          <w:bCs/>
          <w:color w:val="A52A2A"/>
          <w:kern w:val="0"/>
          <w:sz w:val="23"/>
          <w:szCs w:val="23"/>
          <w:lang w:eastAsia="fr-BE"/>
          <w14:ligatures w14:val="none"/>
        </w:rPr>
        <w:t>Japon : le secteur automobile, moteur de la reprise nippone</w:t>
      </w:r>
    </w:p>
    <w:p w14:paraId="79635BC6"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La demande du pays du Soleil Levant devrait progresser en 2024, soutenue par le secteur automobile. Les acteurs du marché sont cependant indécis quant au calendrier de la reprise, qui devrait favoriser une progression des primes.</w:t>
      </w:r>
    </w:p>
    <w:p w14:paraId="73C4B80F"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Les primes sur les </w:t>
      </w:r>
      <w:r w:rsidRPr="001C0F87">
        <w:rPr>
          <w:rFonts w:ascii="Lato" w:eastAsia="Times New Roman" w:hAnsi="Lato" w:cs="Times New Roman"/>
          <w:color w:val="000000"/>
          <w:kern w:val="0"/>
          <w:sz w:val="23"/>
          <w:szCs w:val="23"/>
          <w:u w:val="single"/>
          <w:lang w:eastAsia="fr-BE"/>
          <w14:ligatures w14:val="none"/>
        </w:rPr>
        <w:t>lingots d’aluminium P1020</w:t>
      </w:r>
      <w:r w:rsidRPr="001C0F87">
        <w:rPr>
          <w:rFonts w:ascii="Lato" w:eastAsia="Times New Roman" w:hAnsi="Lato" w:cs="Times New Roman"/>
          <w:color w:val="000000"/>
          <w:kern w:val="0"/>
          <w:sz w:val="23"/>
          <w:szCs w:val="23"/>
          <w:lang w:eastAsia="fr-BE"/>
          <w14:ligatures w14:val="none"/>
        </w:rPr>
        <w:t> CIF </w:t>
      </w:r>
      <w:r w:rsidRPr="001C0F87">
        <w:rPr>
          <w:rFonts w:ascii="Lato" w:eastAsia="Times New Roman" w:hAnsi="Lato" w:cs="Times New Roman"/>
          <w:b/>
          <w:bCs/>
          <w:color w:val="000000"/>
          <w:kern w:val="0"/>
          <w:sz w:val="23"/>
          <w:szCs w:val="23"/>
          <w:lang w:eastAsia="fr-BE"/>
          <w14:ligatures w14:val="none"/>
        </w:rPr>
        <w:t>Japon </w:t>
      </w:r>
      <w:r w:rsidRPr="001C0F87">
        <w:rPr>
          <w:rFonts w:ascii="Lato" w:eastAsia="Times New Roman" w:hAnsi="Lato" w:cs="Times New Roman"/>
          <w:color w:val="000000"/>
          <w:kern w:val="0"/>
          <w:sz w:val="23"/>
          <w:szCs w:val="23"/>
          <w:lang w:eastAsia="fr-BE"/>
          <w14:ligatures w14:val="none"/>
        </w:rPr>
        <w:t>se négociaient entre 75 et 85 $/t le 2 janvier 2024 ; elles sont stables depuis le 27 décembre 2023, mais en recul de 44,6% par rapport au pic de 2023 de 130-150 $/t atteint le 30 mai.</w:t>
      </w:r>
    </w:p>
    <w:p w14:paraId="5CD5FE79"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La demande du secteur automobile va s’améliorer progressivement en 2024, après une année 2023 marquée par une pénurie de semi-conducteurs et de pièces automobiles. « Les ventes de produits dans l’automobile progressent, mais elles restent faibles dans les autres secteurs. Les conditions de marché, difficiles, vont perdurer pendant un certain temps », prévoit un acteur du marché.  L’automobile est le premier secteur de consommation d’aluminium au Japon ; il a compté pour 43,4% de la consommation globale du pays sur les dix premiers mois de 2023. Le transport a consommé 1,36 million de tonnes sur cette même période, un volume en hausse de 9,9% en glissement annuel. La demande devrait rester ténue dans les autres secteurs. « La demande ne devrait se raffermir qu’à compter du second semestre, et l’amélioration viendra principalement du secteur automobile, celle issue de la construction et de l’emballage devrait rester atone », anticipe un autre trader.</w:t>
      </w:r>
    </w:p>
    <w:p w14:paraId="18905EDF" w14:textId="77777777" w:rsidR="001C0F87" w:rsidRPr="001C0F87" w:rsidRDefault="001C0F87" w:rsidP="001C0F8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C0F87">
        <w:rPr>
          <w:rFonts w:ascii="Lato" w:eastAsia="Times New Roman" w:hAnsi="Lato" w:cs="Times New Roman"/>
          <w:color w:val="000000"/>
          <w:kern w:val="0"/>
          <w:sz w:val="23"/>
          <w:szCs w:val="23"/>
          <w:lang w:eastAsia="fr-BE"/>
          <w14:ligatures w14:val="none"/>
        </w:rPr>
        <w:t> </w:t>
      </w:r>
    </w:p>
    <w:p w14:paraId="462FD38D"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87"/>
    <w:rsid w:val="001C0F87"/>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10EE"/>
  <w15:chartTrackingRefBased/>
  <w15:docId w15:val="{41DB909B-5F50-4847-AB05-47B806BB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4133</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2024-01-15T06:44:00Z</dcterms:created>
  <dcterms:modified xsi:type="dcterms:W3CDTF">2024-01-15T06:45:00Z</dcterms:modified>
</cp:coreProperties>
</file>